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bookmarkStart w:id="1" w:name="_GoBack"/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  <w:bookmarkEnd w:id="1"/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42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C+1ktYAAAAIAQAADwAAAAAAAAABACAAAAA4AAAAZHJzL2Rvd25yZXYueG1s&#10;UEsBAhQAFAAAAAgAh07iQCiR+N7kAQAAqgMAAA4AAAAAAAAAAQAgAAAAOw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4"/>
        <w:widowControl/>
        <w:pBdr>
          <w:bottom w:val="none" w:color="auto" w:sz="0" w:space="0"/>
        </w:pBdr>
        <w:adjustRightInd w:val="0"/>
        <w:snapToGrid w:val="0"/>
        <w:spacing w:afterLines="0" w:line="240" w:lineRule="auto"/>
        <w:jc w:val="center"/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</w:pPr>
      <w:bookmarkStart w:id="0" w:name="quanwen"/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关于对湛江国联水产开发股份有限公司采取</w:t>
      </w:r>
    </w:p>
    <w:p>
      <w:pPr>
        <w:pStyle w:val="4"/>
        <w:widowControl/>
        <w:pBdr>
          <w:bottom w:val="none" w:color="auto" w:sz="0" w:space="0"/>
        </w:pBdr>
        <w:adjustRightInd w:val="0"/>
        <w:snapToGrid w:val="0"/>
        <w:spacing w:afterLines="0" w:line="240" w:lineRule="auto"/>
        <w:jc w:val="center"/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责令改正措施并对</w:t>
      </w: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  <w:lang w:eastAsia="zh-CN"/>
        </w:rPr>
        <w:t>李忠、樊春花、梁永振</w:t>
      </w:r>
    </w:p>
    <w:p>
      <w:pPr>
        <w:pStyle w:val="4"/>
        <w:widowControl/>
        <w:pBdr>
          <w:bottom w:val="none" w:color="auto" w:sz="0" w:space="0"/>
        </w:pBdr>
        <w:adjustRightInd w:val="0"/>
        <w:snapToGrid w:val="0"/>
        <w:spacing w:afterLines="0" w:line="240" w:lineRule="auto"/>
        <w:jc w:val="center"/>
        <w:rPr>
          <w:rFonts w:hint="default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采取出具警示函措施的决定</w:t>
      </w:r>
    </w:p>
    <w:p>
      <w:pPr>
        <w:adjustRightInd w:val="0"/>
        <w:snapToGrid w:val="0"/>
        <w:spacing w:afterLines="0" w:line="240" w:lineRule="auto"/>
        <w:rPr>
          <w:rFonts w:hint="eastAsia" w:ascii="方正小标宋简体" w:hAnsi="方正小标宋简体" w:eastAsia="方正小标宋简体" w:cs="方正小标宋简体"/>
          <w:spacing w:val="8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/>
        </w:rPr>
        <w:t>湛江国联水产开发股份有限公司、李忠、樊春花、梁永振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/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根据《上市公司现场检查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/>
        </w:rPr>
        <w:t>规则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》（证监会公告〔2022〕21号）等规定，我局对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/>
        </w:rPr>
        <w:t>湛江国联水产开发股份有限公司</w:t>
      </w:r>
      <w:r>
        <w:rPr>
          <w:rFonts w:hint="eastAsia" w:ascii="仿宋_GB2312" w:hAnsi="仿宋_GB2312" w:eastAsia="仿宋_GB2312" w:cs="宋体"/>
          <w:snapToGrid w:val="0"/>
          <w:color w:val="auto"/>
          <w:spacing w:val="8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以下简称国联水产</w:t>
      </w:r>
      <w:r>
        <w:rPr>
          <w:rFonts w:hint="eastAsia" w:ascii="仿宋_GB2312" w:hAnsi="Times New Roman" w:eastAsia="仿宋_GB2312" w:cs="黑体"/>
          <w:spacing w:val="-6"/>
          <w:kern w:val="2"/>
          <w:sz w:val="32"/>
          <w:szCs w:val="32"/>
          <w:highlight w:val="none"/>
          <w:lang w:val="en-US" w:eastAsia="zh-CN" w:bidi="ar-SA"/>
        </w:rPr>
        <w:t>或公司</w:t>
      </w:r>
      <w:r>
        <w:rPr>
          <w:rFonts w:hint="eastAsia" w:ascii="仿宋_GB2312" w:hAnsi="仿宋_GB2312" w:eastAsia="仿宋_GB2312" w:cs="宋体"/>
          <w:snapToGrid w:val="0"/>
          <w:color w:val="auto"/>
          <w:spacing w:val="8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进行了现场检查，发现公司存在以下问题：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outlineLvl w:val="2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一、收入核算不准确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联水产2023年供港业务采用总额法确认收入，但该业务所有路段运输均由上游供应商承担，公司实际控制商品时间短，运输过程中实际由上游供应商直接承担商品损耗风险，公司在供港业务中应当被认定为代理人，按照净额法核算。公司按总额法核算供港业务收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《企业会计准则第14号——收入》第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的规定。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国联水产2023年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对于经销商自提模式下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销售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形式上的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出库时点确认收入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相关货物出库后并未转移存放地点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根据公司与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经销商签署的销售合同约定，控制权均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在经销商实际提货时发生转移，即公司开出发货单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客户已提取货物或物流公司已提取货物时确认收入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公司存在提前确认收入的情形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《企业会计准则第14号——收入》第四条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outlineLvl w:val="2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二、存货跌价准备计提不充分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国联水产披露2023年12月末存货账面余额27.77亿元，计提跌价准备3.47亿元。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存货跌价准备政策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单个存货项目计提存货跌价准备，也未区分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存货的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重要性，直接按照存货类别计提存货跌价准备。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上述情形不符合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</w:t>
      </w:r>
      <w:r>
        <w:rPr>
          <w:rFonts w:hint="eastAsia" w:ascii="仿宋_GB2312" w:hAnsi="仿宋_GB2312" w:eastAsia="仿宋_GB2312" w:cs="仿宋_GB2312"/>
          <w:sz w:val="32"/>
          <w:szCs w:val="32"/>
        </w:rPr>
        <w:t>业会计准则第1号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存货》第十八条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第一款、第二款的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outlineLvl w:val="2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三、应收账款坏账准备计提不准确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国联水产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披露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2023年12月末应收账款余额5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，计提坏账准备2,315.79万元。公司使用预期信用损失率计提应收账款坏账准备时，未考虑预期信用损失率重要指标前瞻性的影响，导致坏账准备余额计提不充分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上述情形不符合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《企业会计准则第22号——金融工具确认和计量》第四十七条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outlineLvl w:val="2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四、固定资产减值不充分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国联水产</w:t>
      </w:r>
      <w:r>
        <w:rPr>
          <w:rFonts w:hint="eastAsia" w:ascii="仿宋_GB2312" w:hAnsi="仿宋_GB2312" w:eastAsia="仿宋_GB2312" w:cs="仿宋_GB2312"/>
          <w:sz w:val="32"/>
          <w:szCs w:val="32"/>
        </w:rPr>
        <w:t>将其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南三基地、吴川基地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固定资产出租给第三方用于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收取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对应的租赁合同租金较低，导致未来租金现金流折现现值低于账面净值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，但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公司未在2023年年底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进行固定资产减值测试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并计提减值损失。上述情形不符合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《企业会计准则第8号——资产减值》第五条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outlineLvl w:val="2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五、内部控制不规范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公司采购业务相关内控执行不合规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公司活鲜水产品采购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未留存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业务原始交付单据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《会计基础工作规范》第四十七条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库存管理和核算内部控制不完善。公司存货实际出入库管理过程中，无书面记录各区域存放的存货种类、数量、日期等，仅通过人工管理，影响存货有效管理及核算的准确性；公司未能准确采集存货实际的库龄情况，以存货收发存表为基础采用先进先出法模拟计算存货库龄，与实际存货状态不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SAP系统存在账号共享且无法明确共享账号的所有实际持有人、非实名账户，部分用户不恰当地拥有与岗位职责不符的系统权限、普通用户持有通用维护等IT专属权限等系统权限问题。上述情形不符合《企业内部控制应用指引第8号——资产管理》第五条和《企业内部控制应用指引第18号——信息系统》第三条、第十一条第一款、第十二条的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overflowPunct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上述问题导致国联水产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2023年年报披露的相关财务数据、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内部控制自我评价报告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不准确，违反了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《上市公司信息披露管理办法》</w:t>
      </w:r>
      <w:r>
        <w:rPr>
          <w:rFonts w:hint="eastAsia" w:ascii="仿宋_GB2312" w:hAnsi="仿宋_GB2312" w:eastAsia="仿宋_GB2312"/>
          <w:b w:val="0"/>
          <w:bCs/>
          <w:spacing w:val="0"/>
          <w:sz w:val="32"/>
          <w:highlight w:val="none"/>
          <w:u w:val="none"/>
          <w:lang w:val="en-US" w:eastAsia="zh-CN"/>
        </w:rPr>
        <w:t>（证监会令第</w:t>
      </w:r>
      <w:r>
        <w:rPr>
          <w:rFonts w:hint="eastAsia" w:ascii="仿宋_GB2312" w:hAnsi="仿宋_GB2312"/>
          <w:b w:val="0"/>
          <w:bCs/>
          <w:spacing w:val="0"/>
          <w:sz w:val="32"/>
          <w:highlight w:val="none"/>
          <w:u w:val="none"/>
          <w:lang w:val="en-US" w:eastAsia="zh-CN"/>
        </w:rPr>
        <w:t>182</w:t>
      </w:r>
      <w:r>
        <w:rPr>
          <w:rFonts w:hint="eastAsia" w:ascii="仿宋_GB2312" w:hAnsi="仿宋_GB2312" w:eastAsia="仿宋_GB2312"/>
          <w:b w:val="0"/>
          <w:bCs/>
          <w:spacing w:val="0"/>
          <w:sz w:val="32"/>
          <w:highlight w:val="none"/>
          <w:u w:val="none"/>
          <w:lang w:val="en-US" w:eastAsia="zh-CN"/>
        </w:rPr>
        <w:t>号，下同）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第三条第一款的规定。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outlineLvl w:val="2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六、2023年年报前五大客户情况披露不准确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国联水产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2023年前五大客户中，前三名HK HSDA TRADE LIMITED（香港恒盛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达贸易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有限公司）、HERO ALLIANCE CO LTD（英雄联盟有限公司）、HUNDRED FRESH HK TRADE CO.,LIMITED（香港百元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贸易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由同一人控制。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公司未合并披露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与相关客户的交易</w:t>
      </w:r>
      <w:r>
        <w:rPr>
          <w:rFonts w:hint="eastAsia" w:ascii="仿宋_GB2312" w:hAnsi="仿宋_GB2312" w:eastAsia="仿宋_GB2312" w:cs="仿宋_GB2312"/>
          <w:sz w:val="32"/>
          <w:szCs w:val="32"/>
        </w:rPr>
        <w:t>，导致2023年年报披露的前五大客户情况不准确。上述事项违反了《上市公司信息披露管理办法》第三条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outlineLvl w:val="2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七、内幕信息管理不规范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lef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2023年年报等内幕信息知情人档案由证券部登记，相关知情人均未签字确认。上述情形违反了《上市公司监管指引第5号——上市公司内幕信息知情人登记管理制度》（证监会公告〔2022〕17号，下同）第六条第一款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李忠作为公司董事长、总经理，樊春花作为公司财务总监，梁永振作为公司董事会秘书，未按照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上市公司信息披露管理办法》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第四条、《上市公司监管指引第5号——上市公司内幕信息知情人登记管理制度》第七条的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规定履行勤勉尽责义务，对公司上述违规行为负有主要责任。其中，李忠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对公司上述所有违规行为均负有主要责任；樊春花对上述第一项至第五项违规行为负有主要责任；梁永振对上述第六项、第七项违规行为负有主要责任。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上市公司信息披露管理办法》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五十二条、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上市公司监管指引第5号——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上市公司内幕信息知情人登记管理制度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》第十六条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的规定，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我局决定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国联水产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采取责令改正的行政监管措施，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李忠、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樊春花、梁永振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采取出具警示函的行政监管措施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。你们应认真吸取教训，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采取有效措施切实整改，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加强对证券法律法规的学习，提升依法合规履职意识，杜绝此类问题再次发生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。同时公司应对相关责任人员进行内部问责，于收到本决定书30日内完成整改，向我局报送公司整改及内部问责情况报告，并抄报深圳证券交易所。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28"/>
          <w:szCs w:val="28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28"/>
          <w:szCs w:val="28"/>
        </w:rPr>
      </w:pPr>
    </w:p>
    <w:p>
      <w:pPr>
        <w:pBdr>
          <w:top w:val="single" w:color="auto" w:sz="8" w:space="6"/>
        </w:pBdr>
        <w:adjustRightInd w:val="0"/>
        <w:snapToGrid w:val="0"/>
        <w:spacing w:after="109" w:afterLines="35" w:line="240" w:lineRule="auto"/>
        <w:ind w:firstLine="302" w:firstLineChars="100"/>
        <w:rPr>
          <w:rFonts w:ascii="长城仿宋" w:eastAsia="长城仿宋"/>
          <w:spacing w:val="11"/>
          <w:sz w:val="28"/>
        </w:rPr>
      </w:pPr>
      <w:r>
        <w:rPr>
          <w:rFonts w:hint="eastAsia" w:ascii="仿宋_GB2312" w:eastAsia="仿宋_GB2312"/>
          <w:spacing w:val="11"/>
          <w:sz w:val="28"/>
        </w:rPr>
        <w:t>抄送：证监会上市司、法治司；深圳证券交易所。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pacing w:val="8"/>
          <w:sz w:val="28"/>
          <w:lang w:eastAsia="zh-CN"/>
        </w:rPr>
        <w:t>20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25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16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bidi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default" w:ascii="仿宋_GB2312" w:eastAsia="仿宋_GB2312"/>
          <w:spacing w:val="8"/>
          <w:sz w:val="2"/>
          <w:szCs w:val="2"/>
          <w:lang w:val="en-US" w:eastAsia="zh-CN"/>
        </w:rPr>
      </w:pPr>
    </w:p>
    <w:bookmarkEnd w:id="0"/>
    <w:p>
      <w:pPr>
        <w:overflowPunct w:val="0"/>
        <w:snapToGrid w:val="0"/>
        <w:spacing w:beforeLines="0" w:afterLines="0" w:line="240" w:lineRule="auto"/>
        <w:rPr>
          <w:sz w:val="2"/>
          <w:szCs w:val="2"/>
        </w:rPr>
      </w:pPr>
    </w:p>
    <w:sectPr>
      <w:footerReference r:id="rId3" w:type="default"/>
      <w:pgSz w:w="11906" w:h="16838"/>
      <w:pgMar w:top="2097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00"/>
    <w:family w:val="auto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7591"/>
    <w:rsid w:val="2FDBF6A8"/>
    <w:rsid w:val="5E8F3C92"/>
    <w:rsid w:val="5F9FBA45"/>
    <w:rsid w:val="5FF77990"/>
    <w:rsid w:val="6BB24B5B"/>
    <w:rsid w:val="76FF6FD8"/>
    <w:rsid w:val="772F97B9"/>
    <w:rsid w:val="777F6688"/>
    <w:rsid w:val="7E7E9F63"/>
    <w:rsid w:val="7EF7AF86"/>
    <w:rsid w:val="AFF3ABA7"/>
    <w:rsid w:val="BCBF91C8"/>
    <w:rsid w:val="D34A7F91"/>
    <w:rsid w:val="D9F061A0"/>
    <w:rsid w:val="EABEDEF0"/>
    <w:rsid w:val="F5CC123E"/>
    <w:rsid w:val="F99FFAA4"/>
    <w:rsid w:val="FFE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2025-02-16T01:35:00Z</dcterms:created>
  <dc:creator>刘旻浩</dc:creator>
  <cp:lastModifiedBy>刘旻浩</cp:lastModifiedBy>
  <dcterms:modified xsi:type="dcterms:W3CDTF">2025-04-22T14:21:37Z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0636DF46E7534E9B678FAD672C16E9B6</vt:lpwstr>
  </property>
</Properties>
</file>