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DEFE"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 w14:paraId="209AEDD9"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 w14:paraId="3D954D0C"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 w14:paraId="7FAFF002"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 w14:paraId="59F1C202"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C+1ktYAAAAIAQAADwAAAAAAAAABACAAAAAiAAAAZHJzL2Rvd25yZXYu&#10;eG1sUEsBAhQAFAAAAAgAh07iQBXy5mP9AQAA9QMAAA4AAAAAAAAAAQAgAAAAJQEAAGRycy9lMm9E&#10;b2MueG1sUEsFBgAAAAAGAAYAWQEAAJQ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9CC48E">
      <w:pPr>
        <w:jc w:val="center"/>
        <w:rPr>
          <w:rFonts w:hint="eastAsia"/>
          <w:sz w:val="28"/>
          <w:szCs w:val="28"/>
        </w:rPr>
      </w:pPr>
    </w:p>
    <w:p w14:paraId="67D253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东莞市山金资产管理有限公司</w:t>
      </w:r>
    </w:p>
    <w:p w14:paraId="0BAAC5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采取出具警示函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 w14:paraId="1CC67DC5"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5BEA2A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" w:eastAsia="zh-CN"/>
        </w:rPr>
        <w:t>东莞市山金资产管理有限公司：</w:t>
      </w:r>
    </w:p>
    <w:p w14:paraId="78C510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经查，你公司在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下违规情形：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宋体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委托不具备基金销售资格的单位从事资金募集活动；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lang w:val="en-US" w:eastAsia="zh-CN"/>
        </w:rPr>
        <w:t>是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未按规定向投资者进行信息披露；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未妥善保存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私募基金投资决策、交易和投资者适当性管理等方面的记录及其他相关资料。</w:t>
      </w: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《私募投资基金监督管理暂行办法》（证监会令第105号，以下简称《私募办法》）第二十三条第九项、第二十四条、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4"/>
          <w:lang w:val="en-US" w:eastAsia="zh-CN" w:bidi="ar-SA"/>
        </w:rPr>
        <w:t>第二十六条以及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《关于加强私募投资基金监管的若干规定》（证监会公告〔2020〕71号，以下简称《若干规定》）第六条第一款第八项的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规定。</w:t>
      </w:r>
    </w:p>
    <w:p w14:paraId="5B8E3B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根据《私募办法》第三十三条和《若干规定》第十三条第一款的规定，我局决定对你公司采取出具警示函的行政监管措施。</w:t>
      </w:r>
      <w:r>
        <w:rPr>
          <w:rFonts w:hint="eastAsia" w:ascii="仿宋_GB2312" w:hAnsi="仿宋_GB2312" w:eastAsia="仿宋_GB2312" w:cs="仿宋_GB2312"/>
          <w:sz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 w14:paraId="73C57AE9"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 w14:paraId="09A9D9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261349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1716FB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51C8E390"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 w14:paraId="4E7A3030"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 w14:paraId="26E15ADD"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 w14:paraId="28FB15EB"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 w14:paraId="36F86F3E"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 w14:paraId="18818686"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  <w:bookmarkStart w:id="1" w:name="_GoBack"/>
      <w:bookmarkEnd w:id="1"/>
    </w:p>
    <w:p w14:paraId="2EAFAA38"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28"/>
          <w:szCs w:val="28"/>
        </w:rPr>
      </w:pPr>
    </w:p>
    <w:p w14:paraId="53A24DFF"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302" w:firstLineChars="100"/>
        <w:rPr>
          <w:rFonts w:ascii="长城仿宋" w:eastAsia="长城仿宋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抄送：证监会市场二司、法治司；中国证券投资基金业协会。</w:t>
      </w:r>
    </w:p>
    <w:p w14:paraId="18E4A8C0"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22</w:t>
      </w:r>
      <w:r>
        <w:rPr>
          <w:rFonts w:hint="eastAsia" w:ascii="仿宋_GB2312" w:eastAsia="仿宋_GB2312"/>
          <w:spacing w:val="8"/>
          <w:sz w:val="28"/>
        </w:rPr>
        <w:t>日印发</w:t>
      </w:r>
    </w:p>
    <w:p w14:paraId="1C74A649">
      <w:pPr>
        <w:pBdr>
          <w:top w:val="single" w:color="auto" w:sz="8" w:space="7"/>
        </w:pBdr>
        <w:overflowPunct w:val="0"/>
        <w:bidi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default" w:ascii="仿宋_GB2312" w:eastAsia="仿宋_GB2312"/>
          <w:spacing w:val="8"/>
          <w:sz w:val="2"/>
          <w:szCs w:val="2"/>
          <w:lang w:val="en-US" w:eastAsia="zh-CN"/>
        </w:rPr>
      </w:pPr>
    </w:p>
    <w:bookmarkEnd w:id="0"/>
    <w:p w14:paraId="3AF0B777">
      <w:pPr>
        <w:overflowPunct w:val="0"/>
        <w:snapToGrid w:val="0"/>
        <w:spacing w:beforeLines="0" w:afterLines="0" w:line="240" w:lineRule="auto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长城仿宋">
    <w:altName w:val="方正仿宋_GBK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BC7E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3813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F5954"/>
    <w:rsid w:val="1FFF64A3"/>
    <w:rsid w:val="325F4B3E"/>
    <w:rsid w:val="39F7F7B4"/>
    <w:rsid w:val="3D1FFBEF"/>
    <w:rsid w:val="5FFF919F"/>
    <w:rsid w:val="6F7BD5F8"/>
    <w:rsid w:val="7BE96C99"/>
    <w:rsid w:val="7E37BCAB"/>
    <w:rsid w:val="7FFE3F8B"/>
    <w:rsid w:val="AEFF5954"/>
    <w:rsid w:val="BC755806"/>
    <w:rsid w:val="F56F9CD7"/>
    <w:rsid w:val="FAFFCC66"/>
    <w:rsid w:val="FF3F321D"/>
    <w:rsid w:val="FF7FFED0"/>
    <w:rsid w:val="FFDF8175"/>
    <w:rsid w:val="FF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2025-04-07T22:48:00Z</dcterms:created>
  <dc:creator>李君达：承办人拟稿</dc:creator>
  <cp:lastModifiedBy>于晓雷</cp:lastModifiedBy>
  <cp:lastPrinted>2025-04-13T06:19:00Z</cp:lastPrinted>
  <dcterms:modified xsi:type="dcterms:W3CDTF">2025-04-30T15:46:30Z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99C088EAB685DFE80F4A0F68999952E0</vt:lpwstr>
  </property>
</Properties>
</file>