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FF0000"/>
          <w:sz w:val="44"/>
        </w:rPr>
      </w:pPr>
      <w:r>
        <w:rPr>
          <w:rFonts w:eastAsia="黑体"/>
          <w:color w:val="FF0000"/>
          <w:sz w:val="44"/>
        </w:rPr>
        <w:t>中国证券监督管理委员会</w:t>
      </w:r>
      <w:r>
        <w:rPr>
          <w:rFonts w:hint="eastAsia" w:eastAsia="黑体"/>
          <w:color w:val="FF0000"/>
          <w:sz w:val="44"/>
        </w:rPr>
        <w:t>江西监管局</w:t>
      </w:r>
    </w:p>
    <w:p>
      <w:pPr>
        <w:jc w:val="center"/>
        <w:rPr>
          <w:rFonts w:eastAsia="华文中宋"/>
          <w:b/>
          <w:color w:val="FF0000"/>
          <w:spacing w:val="-50"/>
          <w:sz w:val="72"/>
        </w:rPr>
      </w:pPr>
      <w:r>
        <w:rPr>
          <w:rFonts w:eastAsia="华文中宋"/>
          <w:b/>
          <w:color w:val="FF0000"/>
          <w:spacing w:val="-50"/>
          <w:sz w:val="72"/>
        </w:rPr>
        <w:t>行 政 监 管 措 施 决 定 书</w:t>
      </w: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default"/>
          <w:b/>
          <w:bCs/>
          <w:sz w:val="44"/>
          <w:szCs w:val="44"/>
          <w:lang w:val="en-US"/>
        </w:rPr>
      </w:pPr>
      <w:r>
        <w:rPr>
          <w:rFonts w:eastAsia="仿宋_GB2312"/>
          <w:sz w:val="30"/>
          <w:u w:val="single" w:color="FF0000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b/>
          <w:bCs/>
        </w:rPr>
      </w:pPr>
      <w:r>
        <w:rPr>
          <w:b/>
          <w:bCs/>
          <w:sz w:val="44"/>
          <w:szCs w:val="44"/>
        </w:rPr>
        <w:t>关于对</w:t>
      </w:r>
      <w:r>
        <w:rPr>
          <w:rFonts w:hint="eastAsia"/>
          <w:b/>
          <w:bCs/>
          <w:sz w:val="44"/>
          <w:szCs w:val="44"/>
          <w:lang w:eastAsia="zh-CN"/>
        </w:rPr>
        <w:t>黄向共采取</w:t>
      </w:r>
      <w:r>
        <w:rPr>
          <w:b/>
          <w:bCs/>
          <w:sz w:val="44"/>
          <w:szCs w:val="44"/>
        </w:rPr>
        <w:t>出具警示函</w:t>
      </w:r>
      <w:r>
        <w:rPr>
          <w:rFonts w:hint="eastAsia"/>
          <w:b/>
          <w:bCs/>
          <w:sz w:val="44"/>
          <w:szCs w:val="44"/>
          <w:lang w:eastAsia="zh-CN"/>
        </w:rPr>
        <w:t>措施</w:t>
      </w:r>
      <w:r>
        <w:rPr>
          <w:b/>
          <w:bCs/>
          <w:sz w:val="44"/>
          <w:szCs w:val="44"/>
        </w:rPr>
        <w:t>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黄向共：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经查，你担任江西沃格光电集团股份有限公司（以下简称沃格光电）监事会主席、监事期间，你的配偶葛慧君于2024年2月7日至2024年10月22日，存在通过集中竞价交易方式多次买卖沃格光电股票的情况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累计买入6100股，累计成交金额为10.45万元；累计卖出6100股，累计成交金额为14.03万元；累计收益3.58万元，构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成短线交易。此外，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沃格光电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于2024年8月20日披露2024年半年度报告，葛慧君于2024年8月12日买入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沃格光电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股票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，构成窗口期买卖股票。以上行为违反《中华人民共和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证券法》第四十四条第一款、第二款和《上市公司董事、监事和高级管理人员所持本公司股份及其变动管理规则》（证监会公告〔2024〕9号）第三条第一款、第十三条第一项的规定。根据《中华人民共和国证券法》第一百七十条第二款和《上市公司董事、监事和高级管理人员所持本公司股份及其变动管理规则》（证监会公告〔2024〕9号）第十六条的规定，我局决定对你采取出具警示函的行政监管措施，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记入证券期货市场诚信档案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。你应引以为戒，切实加强本人及近亲属的证券法律法规学习，严格规范交易行为，杜绝此类违规行为再次发生。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监管措施不服，可以在收到本决定书之日起60日内向中国证券监督管理委员会提出行政复议申请，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江西证监局</w:t>
      </w:r>
    </w:p>
    <w:p>
      <w:pPr>
        <w:keepNext w:val="0"/>
        <w:keepLines w:val="0"/>
        <w:snapToGrid w:val="0"/>
        <w:spacing w:line="360" w:lineRule="auto"/>
        <w:ind w:firstLine="640" w:firstLineChars="20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月19日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1CF9"/>
    <w:rsid w:val="13B66C99"/>
    <w:rsid w:val="3D4F1CF9"/>
    <w:rsid w:val="4F7FA864"/>
    <w:rsid w:val="5FFFE5A6"/>
    <w:rsid w:val="6F7CC6D2"/>
    <w:rsid w:val="CF7FE002"/>
    <w:rsid w:val="F9C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2025-06-17T23:16:00Z</dcterms:created>
  <dc:creator>罗颖</dc:creator>
  <cp:lastModifiedBy>uos</cp:lastModifiedBy>
  <dcterms:modified xsi:type="dcterms:W3CDTF">2025-06-23T15:58:27Z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E7F453B7B9281345E3C44F680014334F</vt:lpwstr>
  </property>
</Properties>
</file>