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hint="eastAsia" w:eastAsia="黑体"/>
          <w:color w:val="FF0000"/>
          <w:sz w:val="44"/>
        </w:rPr>
      </w:pPr>
      <w:r>
        <w:rPr>
          <w:rFonts w:eastAsia="黑体"/>
          <w:color w:val="FF0000"/>
          <w:sz w:val="44"/>
        </w:rPr>
        <w:t>中国证券监督管理委员会</w:t>
      </w:r>
      <w:r>
        <w:rPr>
          <w:rFonts w:hint="eastAsia" w:eastAsia="黑体"/>
          <w:color w:val="FF0000"/>
          <w:sz w:val="44"/>
        </w:rPr>
        <w:t>江西监管局</w:t>
      </w:r>
    </w:p>
    <w:p>
      <w:pPr>
        <w:jc w:val="center"/>
        <w:outlineLvl w:val="0"/>
        <w:rPr>
          <w:rFonts w:eastAsia="华文中宋"/>
          <w:b/>
          <w:color w:val="FF0000"/>
          <w:spacing w:val="-50"/>
          <w:sz w:val="72"/>
        </w:rPr>
      </w:pPr>
      <w:r>
        <w:rPr>
          <w:rFonts w:eastAsia="华文中宋"/>
          <w:b/>
          <w:color w:val="FF0000"/>
          <w:spacing w:val="-50"/>
          <w:sz w:val="72"/>
        </w:rPr>
        <w:t>行 政 监 管 措 施 决 定 书</w:t>
      </w:r>
    </w:p>
    <w:p>
      <w:pPr>
        <w:jc w:val="center"/>
        <w:rPr>
          <w:rFonts w:eastAsia="仿宋_GB2312"/>
          <w:color w:val="FF0000"/>
          <w:sz w:val="30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0"/>
        </w:rPr>
        <w:t>20</w:t>
      </w:r>
      <w:r>
        <w:rPr>
          <w:rFonts w:hint="eastAsia" w:ascii="仿宋_GB2312" w:hAnsi="仿宋_GB2312" w:eastAsia="仿宋_GB2312" w:cs="仿宋_GB2312"/>
          <w:color w:val="auto"/>
          <w:sz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〕29</w:t>
      </w:r>
      <w:r>
        <w:rPr>
          <w:rFonts w:hint="eastAsia" w:ascii="仿宋_GB2312" w:hAnsi="仿宋_GB2312" w:eastAsia="仿宋_GB2312" w:cs="仿宋_GB2312"/>
          <w:color w:val="auto"/>
          <w:sz w:val="30"/>
        </w:rPr>
        <w:t>号</w:t>
      </w:r>
    </w:p>
    <w:p>
      <w:pPr>
        <w:rPr>
          <w:rFonts w:eastAsia="仿宋_GB2312"/>
          <w:color w:val="FF0000"/>
          <w:sz w:val="30"/>
          <w:u w:val="single"/>
        </w:rPr>
      </w:pPr>
      <w:r>
        <w:rPr>
          <w:rFonts w:eastAsia="仿宋_GB2312"/>
          <w:color w:val="FF0000"/>
          <w:sz w:val="30"/>
          <w:u w:val="single"/>
        </w:rPr>
        <w:t xml:space="preserve">                                                        </w:t>
      </w:r>
    </w:p>
    <w:p>
      <w:pPr>
        <w:jc w:val="center"/>
        <w:rPr>
          <w:rFonts w:eastAsia="仿宋_GB2312"/>
          <w:color w:val="auto"/>
          <w:sz w:val="30"/>
        </w:rPr>
      </w:pPr>
    </w:p>
    <w:p>
      <w:pPr>
        <w:pStyle w:val="6"/>
      </w:pPr>
      <w:r>
        <w:rPr>
          <w:rFonts w:hint="eastAsia"/>
        </w:rPr>
        <w:t>关于对江西联创光电</w:t>
      </w:r>
      <w:r>
        <w:rPr>
          <w:rFonts w:hint="eastAsia"/>
          <w:lang w:eastAsia="zh-CN"/>
        </w:rPr>
        <w:t>科技</w:t>
      </w:r>
      <w:r>
        <w:rPr>
          <w:rFonts w:hint="eastAsia"/>
        </w:rPr>
        <w:t>股份有限公司、伍锐采取出具警示函措施的决定</w:t>
      </w:r>
    </w:p>
    <w:p>
      <w:pPr>
        <w:pStyle w:val="7"/>
        <w:ind w:firstLine="0" w:firstLineChars="0"/>
      </w:pPr>
    </w:p>
    <w:p>
      <w:pPr>
        <w:pStyle w:val="8"/>
        <w:ind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江西联创光电科技股份有限公司</w:t>
      </w:r>
      <w:r>
        <w:rPr>
          <w:rFonts w:hint="eastAsia" w:ascii="仿宋_GB2312" w:hAnsi="仿宋_GB2312" w:eastAsia="仿宋_GB2312" w:cs="仿宋_GB2312"/>
        </w:rPr>
        <w:t>、伍锐：</w:t>
      </w:r>
    </w:p>
    <w:p>
      <w:pPr>
        <w:pStyle w:val="7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江西联创光电科技股份有限公司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（以下简称联创光电或公司）存在以下违规行为：</w:t>
      </w:r>
    </w:p>
    <w:p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公司披露《关于前期会计差错更正的公告》等信息，称由于参股公司江西联创光电超导应用有限公司（以下简称联创超导）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财务报告存在错报，导致公司长期股权投资、未分配利润和投资收益等会计科目存在错报，公司已对前期差错采用追溯重述法对2023年度财务报表进行更正。这一事项反映出公司此前披露的相关定期报告财务信息不准确。</w:t>
      </w:r>
    </w:p>
    <w:p>
      <w:pPr>
        <w:pStyle w:val="7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公司上述问题违反了《上市公司信息披露管理办法》(证监会令第182号)第三条第一款规定。伍锐作为公司和联创超导的董事长，违反《上市公司信息披露管理办法》（证监会令第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）第四条规定，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对上述违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规行为负有主要责任。</w:t>
      </w:r>
    </w:p>
    <w:p>
      <w:pPr>
        <w:pStyle w:val="7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根据《上市公司信息披露管理办法》(证监会令第182号)第五十二条的规定，我局决定对联创光电、伍锐采取出具警示函的监管措施，并将相关情况记入证券期货市场诚信档案。</w:t>
      </w:r>
    </w:p>
    <w:p>
      <w:pPr>
        <w:pStyle w:val="7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你们应认真吸取教训，采取有效措施切实整改，加强对证券法律法规的学习，提升依法合规履职意识，杜绝此类问题再次发生，并于收到本决定书之日起三十日内向我局提交整改报告。</w:t>
      </w:r>
    </w:p>
    <w:p>
      <w:pPr>
        <w:pStyle w:val="7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对本监管措施不服，可以在收到本决定书之日起60日内向中国证券监督管理委员会提出行政复议申请，也可以在收到本决定书之日起6个月内向有管辖权的人民法院提起诉讼。复议与诉讼期间，上述监管措施不停止执行。</w:t>
      </w:r>
    </w:p>
    <w:p>
      <w:pPr>
        <w:adjustRightInd w:val="0"/>
        <w:snapToGrid w:val="0"/>
        <w:spacing w:beforeLines="0" w:afterLines="0" w:line="360" w:lineRule="auto"/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/>
          <w:sz w:val="32"/>
        </w:rPr>
      </w:pP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  </w:t>
      </w:r>
      <w:r>
        <w:rPr>
          <w:rFonts w:hint="eastAsia" w:ascii="仿宋_GB2312" w:hAnsi="仿宋_GB2312" w:eastAsia="仿宋_GB2312"/>
          <w:sz w:val="32"/>
          <w:lang w:eastAsia="zh-CN"/>
        </w:rPr>
        <w:t xml:space="preserve">  </w:t>
      </w:r>
      <w:r>
        <w:rPr>
          <w:rFonts w:hint="eastAsia"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  <w:lang w:eastAsia="zh-CN"/>
        </w:rPr>
        <w:t>江西证监局</w:t>
      </w: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>2025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22</w:t>
      </w:r>
      <w:r>
        <w:rPr>
          <w:rFonts w:hint="eastAsia" w:ascii="仿宋_GB2312" w:hAnsi="仿宋_GB2312" w:eastAsia="仿宋_GB2312"/>
          <w:sz w:val="32"/>
        </w:rPr>
        <w:t>日</w:t>
      </w: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/>
          <w:sz w:val="32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/>
          <w:sz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530D"/>
    <w:rsid w:val="6FFF5823"/>
    <w:rsid w:val="7F74E154"/>
    <w:rsid w:val="7FFD530D"/>
    <w:rsid w:val="FAE9E2DE"/>
    <w:rsid w:val="FEDDE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大标题"/>
    <w:basedOn w:val="1"/>
    <w:qFormat/>
    <w:uiPriority w:val="0"/>
    <w:pPr>
      <w:jc w:val="center"/>
    </w:pPr>
    <w:rPr>
      <w:rFonts w:ascii="宋体" w:hAnsi="宋体" w:eastAsia="宋体" w:cs="宋体"/>
      <w:b/>
      <w:bCs/>
      <w:sz w:val="44"/>
      <w:szCs w:val="44"/>
    </w:rPr>
  </w:style>
  <w:style w:type="paragraph" w:customStyle="1" w:styleId="7">
    <w:name w:val="文章正文"/>
    <w:basedOn w:val="1"/>
    <w:qFormat/>
    <w:uiPriority w:val="0"/>
    <w:pPr>
      <w:ind w:firstLine="640" w:firstLineChars="200"/>
    </w:pPr>
    <w:rPr>
      <w:rFonts w:ascii="仿宋" w:hAnsi="仿宋" w:eastAsia="仿宋" w:cs="仿宋"/>
      <w:sz w:val="32"/>
      <w:szCs w:val="32"/>
    </w:rPr>
  </w:style>
  <w:style w:type="paragraph" w:customStyle="1" w:styleId="8">
    <w:name w:val="一级标题"/>
    <w:basedOn w:val="1"/>
    <w:qFormat/>
    <w:uiPriority w:val="0"/>
    <w:pPr>
      <w:ind w:firstLine="640" w:firstLineChars="200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2025-10-21T09:55:00Z</dcterms:created>
  <dc:creator>黄君</dc:creator>
  <cp:lastModifiedBy>uos</cp:lastModifiedBy>
  <dcterms:modified xsi:type="dcterms:W3CDTF">2025-10-24T15:17:38Z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1397A4B18E7E20463901F7680BAD0216</vt:lpwstr>
  </property>
</Properties>
</file>