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bookmarkStart w:id="0" w:name="quanwen"/>
      <mc:AlternateContent>
        <mc:Choice Requires="wpsCustomData">
          <wpsCustomData:docfieldStart id="0" docfieldname="正文" hidden="0" print="1" readonly="0" index="11"/>
        </mc:Choice>
      </mc:AlternateContent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202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5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1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  <w:t>月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云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南证券期货市场基本情况</w:t>
      </w:r>
    </w:p>
    <w:tbl>
      <w:tblPr>
        <w:tblStyle w:val="5"/>
        <w:tblW w:w="8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4152"/>
        <w:gridCol w:w="1650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</w:trPr>
        <w:tc>
          <w:tcPr>
            <w:tcW w:w="5629" w:type="dxa"/>
            <w:gridSpan w:val="2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</w:rPr>
              <w:t>项目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  <w:lang w:eastAsia="zh-CN"/>
              </w:rPr>
              <w:t>本月末数或本年累计数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  <w:lang w:eastAsia="zh-CN"/>
              </w:rPr>
              <w:t>数据填报</w:t>
            </w:r>
          </w:p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  <w:lang w:eastAsia="zh-CN"/>
              </w:rPr>
              <w:t>口径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7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</w:rPr>
              <w:t>境内上</w:t>
            </w:r>
          </w:p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</w:rPr>
              <w:t>市公司</w:t>
            </w:r>
          </w:p>
        </w:tc>
        <w:tc>
          <w:tcPr>
            <w:tcW w:w="4152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</w:rPr>
              <w:t>家数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41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7" w:type="dxa"/>
            <w:vMerge w:val="continue"/>
            <w:noWrap w:val="0"/>
            <w:textDirection w:val="tbRlV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</w:rPr>
            </w:pPr>
          </w:p>
        </w:tc>
        <w:tc>
          <w:tcPr>
            <w:tcW w:w="4152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lang w:eastAsia="zh-CN"/>
              </w:rPr>
              <w:t>市值</w:t>
            </w: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</w:rPr>
              <w:t>（亿元）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7680.21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7" w:type="dxa"/>
            <w:vMerge w:val="continue"/>
            <w:noWrap w:val="0"/>
            <w:textDirection w:val="tbRlV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</w:rPr>
            </w:pPr>
          </w:p>
        </w:tc>
        <w:tc>
          <w:tcPr>
            <w:tcW w:w="4152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lang w:eastAsia="zh-CN"/>
              </w:rPr>
              <w:t>股票首发筹资金额</w:t>
            </w: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</w:rPr>
              <w:t>（亿元）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eastAsia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7" w:type="dxa"/>
            <w:vMerge w:val="continue"/>
            <w:noWrap w:val="0"/>
            <w:textDirection w:val="tbRlV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</w:rPr>
            </w:pPr>
          </w:p>
        </w:tc>
        <w:tc>
          <w:tcPr>
            <w:tcW w:w="4152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lang w:eastAsia="zh-CN"/>
              </w:rPr>
              <w:t>股票再筹资金额</w:t>
            </w: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</w:rPr>
              <w:t>（亿元）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eastAsia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7" w:type="dxa"/>
            <w:vMerge w:val="continue"/>
            <w:noWrap w:val="0"/>
            <w:textDirection w:val="tbRlV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</w:rPr>
            </w:pPr>
          </w:p>
        </w:tc>
        <w:tc>
          <w:tcPr>
            <w:tcW w:w="4152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</w:rPr>
              <w:t>在审在辅导公司家数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7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</w:rPr>
              <w:t>股转系统挂牌公司</w:t>
            </w:r>
          </w:p>
        </w:tc>
        <w:tc>
          <w:tcPr>
            <w:tcW w:w="4152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</w:rPr>
              <w:t>挂牌公司家数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50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</w:rPr>
            </w:pPr>
          </w:p>
        </w:tc>
        <w:tc>
          <w:tcPr>
            <w:tcW w:w="4152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</w:rPr>
              <w:t>在审</w:t>
            </w: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lang w:val="en-US" w:eastAsia="zh-CN"/>
              </w:rPr>
              <w:t>挂牌公司家数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</w:rPr>
            </w:pPr>
          </w:p>
        </w:tc>
        <w:tc>
          <w:tcPr>
            <w:tcW w:w="4152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lang w:val="en-US" w:eastAsia="zh-CN"/>
              </w:rPr>
              <w:t>发行股票筹资金额</w:t>
            </w: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</w:rPr>
              <w:t>（亿元）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1477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b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pacing w:val="0"/>
                <w:sz w:val="24"/>
                <w:szCs w:val="24"/>
                <w:lang w:eastAsia="zh-CN"/>
              </w:rPr>
              <w:t>交易所债券市场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pacing w:val="0"/>
                <w:sz w:val="24"/>
                <w:szCs w:val="24"/>
                <w:vertAlign w:val="superscript"/>
                <w:lang w:eastAsia="zh-CN"/>
              </w:rPr>
              <w:footnoteReference w:id="0"/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pacing w:val="0"/>
                <w:sz w:val="24"/>
                <w:szCs w:val="24"/>
                <w:lang w:eastAsia="zh-CN"/>
              </w:rPr>
              <w:t>融资</w:t>
            </w:r>
          </w:p>
        </w:tc>
        <w:tc>
          <w:tcPr>
            <w:tcW w:w="4152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0"/>
                <w:sz w:val="24"/>
                <w:szCs w:val="24"/>
                <w:lang w:val="en-US" w:eastAsia="zh-CN"/>
              </w:rPr>
              <w:t>企业通过交易所债券市场筹资金额（亿元）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1533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eastAsia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7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pacing w:val="0"/>
                <w:sz w:val="24"/>
                <w:szCs w:val="24"/>
                <w:highlight w:val="none"/>
              </w:rPr>
              <w:t>证券经</w:t>
            </w:r>
          </w:p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pacing w:val="0"/>
                <w:sz w:val="24"/>
                <w:szCs w:val="24"/>
                <w:highlight w:val="none"/>
              </w:rPr>
              <w:t>营机构</w:t>
            </w:r>
          </w:p>
        </w:tc>
        <w:tc>
          <w:tcPr>
            <w:tcW w:w="4152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</w:rPr>
              <w:t>证券公司家数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eastAsia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  <w:highlight w:val="yellow"/>
              </w:rPr>
            </w:pPr>
          </w:p>
        </w:tc>
        <w:tc>
          <w:tcPr>
            <w:tcW w:w="4152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</w:rPr>
              <w:t>证券公司分公司家数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eastAsia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" w:eastAsia="zh-CN"/>
              </w:rPr>
              <w:t>3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  <w:highlight w:val="yellow"/>
              </w:rPr>
            </w:pPr>
          </w:p>
        </w:tc>
        <w:tc>
          <w:tcPr>
            <w:tcW w:w="4152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</w:rPr>
              <w:t>证券营业部家数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" w:eastAsia="zh-CN"/>
              </w:rPr>
              <w:t>137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  <w:highlight w:val="yellow"/>
              </w:rPr>
            </w:pPr>
          </w:p>
        </w:tc>
        <w:tc>
          <w:tcPr>
            <w:tcW w:w="4152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</w:rPr>
              <w:t>证券投资咨询公司家数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  <w:highlight w:val="yellow"/>
              </w:rPr>
            </w:pPr>
          </w:p>
        </w:tc>
        <w:tc>
          <w:tcPr>
            <w:tcW w:w="4152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lang w:eastAsia="zh-CN"/>
              </w:rPr>
              <w:t>证券市场交易金额</w:t>
            </w: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</w:rPr>
              <w:t>（亿元）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" w:eastAsia="zh-CN"/>
              </w:rPr>
              <w:t>4202.33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eastAsia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  <w:highlight w:val="yellow"/>
              </w:rPr>
            </w:pPr>
          </w:p>
        </w:tc>
        <w:tc>
          <w:tcPr>
            <w:tcW w:w="4152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lang w:val="en"/>
              </w:rPr>
              <w:t>客户资产</w:t>
            </w: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</w:rPr>
              <w:t>（亿元）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" w:eastAsia="zh-CN"/>
              </w:rPr>
              <w:t>4782.91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eastAsia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  <w:highlight w:val="yellow"/>
              </w:rPr>
            </w:pPr>
          </w:p>
        </w:tc>
        <w:tc>
          <w:tcPr>
            <w:tcW w:w="4152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lang w:eastAsia="zh-CN"/>
              </w:rPr>
              <w:t>资金账户数</w:t>
            </w: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lang w:eastAsia="zh-CN"/>
              </w:rPr>
              <w:t>户</w:t>
            </w: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</w:rPr>
              <w:t>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" w:eastAsia="zh-CN"/>
              </w:rPr>
              <w:t>3878745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eastAsia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7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  <w:highlight w:val="none"/>
              </w:rPr>
              <w:t>期货经</w:t>
            </w:r>
          </w:p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  <w:highlight w:val="none"/>
              </w:rPr>
              <w:t>营机构</w:t>
            </w:r>
          </w:p>
        </w:tc>
        <w:tc>
          <w:tcPr>
            <w:tcW w:w="4152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</w:rPr>
              <w:t>期货公司家数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</w:rPr>
            </w:pPr>
          </w:p>
        </w:tc>
        <w:tc>
          <w:tcPr>
            <w:tcW w:w="4152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</w:rPr>
              <w:t>期货营业部家数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24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</w:rPr>
            </w:pPr>
          </w:p>
        </w:tc>
        <w:tc>
          <w:tcPr>
            <w:tcW w:w="4152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lang w:eastAsia="zh-CN"/>
              </w:rPr>
              <w:t>期货分公司家数</w:t>
            </w:r>
          </w:p>
        </w:tc>
        <w:tc>
          <w:tcPr>
            <w:tcW w:w="165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533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</w:rPr>
            </w:pPr>
          </w:p>
        </w:tc>
        <w:tc>
          <w:tcPr>
            <w:tcW w:w="415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Cs w:val="0"/>
                <w:spacing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pacing w:val="0"/>
                <w:sz w:val="24"/>
                <w:szCs w:val="24"/>
                <w:lang w:eastAsia="zh-CN" w:bidi="ar"/>
              </w:rPr>
              <w:t>期货市场交易金额（亿元）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" w:eastAsia="zh-CN"/>
              </w:rPr>
              <w:t>2573.08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</w:rPr>
            </w:pPr>
          </w:p>
        </w:tc>
        <w:tc>
          <w:tcPr>
            <w:tcW w:w="415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lang w:eastAsia="zh-CN"/>
              </w:rPr>
              <w:t>客户权益（亿元）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" w:eastAsia="zh-CN"/>
              </w:rPr>
              <w:t>49.22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</w:rPr>
            </w:pPr>
          </w:p>
        </w:tc>
        <w:tc>
          <w:tcPr>
            <w:tcW w:w="415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</w:rPr>
              <w:t>期货</w:t>
            </w: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lang w:eastAsia="zh-CN"/>
              </w:rPr>
              <w:t>账户</w:t>
            </w: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</w:rPr>
              <w:t>数（</w:t>
            </w: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lang w:eastAsia="zh-CN"/>
              </w:rPr>
              <w:t>户</w:t>
            </w: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</w:rPr>
              <w:t>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" w:eastAsia="zh-CN"/>
              </w:rPr>
              <w:t>56024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7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  <w:lang w:eastAsia="zh-CN"/>
              </w:rPr>
              <w:t>私募</w:t>
            </w:r>
          </w:p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  <w:lang w:eastAsia="zh-CN"/>
              </w:rPr>
              <w:t>基金</w:t>
            </w:r>
          </w:p>
        </w:tc>
        <w:tc>
          <w:tcPr>
            <w:tcW w:w="4152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lang w:eastAsia="zh-CN"/>
              </w:rPr>
              <w:t>私募基金管理人家数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64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7" w:type="dxa"/>
            <w:vMerge w:val="continue"/>
            <w:noWrap w:val="0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</w:rPr>
            </w:pPr>
          </w:p>
        </w:tc>
        <w:tc>
          <w:tcPr>
            <w:tcW w:w="4152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lang w:eastAsia="zh-CN"/>
              </w:rPr>
              <w:t>备案私募基金数量（只）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65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7" w:type="dxa"/>
            <w:vMerge w:val="continue"/>
            <w:noWrap w:val="0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</w:rPr>
            </w:pPr>
          </w:p>
        </w:tc>
        <w:tc>
          <w:tcPr>
            <w:tcW w:w="4152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lang w:eastAsia="zh-CN"/>
              </w:rPr>
              <w:t>私募基金管理规模</w:t>
            </w: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</w:rPr>
              <w:t>（亿元）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987.08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adjustRightInd/>
        <w:snapToGrid/>
        <w:spacing w:line="240" w:lineRule="auto"/>
        <w:jc w:val="left"/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  <w:lang w:val="en-US" w:eastAsia="zh-CN"/>
        </w:rPr>
        <w:br w:type="page"/>
      </w:r>
    </w:p>
    <w:p>
      <w:pPr>
        <w:adjustRightInd w:val="0"/>
        <w:snapToGrid w:val="0"/>
        <w:spacing w:line="240" w:lineRule="auto"/>
        <w:jc w:val="center"/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  <w:lang w:val="en-US" w:eastAsia="zh-CN"/>
        </w:rPr>
        <w:t>202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  <w:lang w:eastAsia="zh-CN"/>
        </w:rPr>
        <w:t>5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  <w:lang w:eastAsia="zh-CN"/>
        </w:rPr>
        <w:t>1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</w:rPr>
        <w:t>月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eastAsia="zh-CN"/>
        </w:rPr>
        <w:t>昆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  <w:lang w:eastAsia="zh-CN"/>
        </w:rPr>
        <w:t>明市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</w:rPr>
        <w:t>证券期货市场基本情况</w:t>
      </w:r>
    </w:p>
    <w:tbl>
      <w:tblPr>
        <w:tblStyle w:val="5"/>
        <w:tblW w:w="9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618"/>
        <w:gridCol w:w="1819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5044" w:type="dxa"/>
            <w:gridSpan w:val="2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</w:rPr>
              <w:t>项目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  <w:lang w:eastAsia="zh-CN"/>
              </w:rPr>
              <w:t>本月末数或本年累计数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  <w:lang w:eastAsia="zh-CN"/>
              </w:rPr>
              <w:t>数据填报</w:t>
            </w:r>
          </w:p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  <w:lang w:eastAsia="zh-CN"/>
              </w:rPr>
              <w:t>口径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</w:rPr>
              <w:t>境内上</w:t>
            </w:r>
          </w:p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</w:rPr>
              <w:t>市公司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</w:rPr>
              <w:t>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continue"/>
            <w:noWrap w:val="0"/>
            <w:textDirection w:val="tbRlV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lang w:eastAsia="zh-CN"/>
              </w:rPr>
              <w:t>市值</w:t>
            </w: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</w:rPr>
              <w:t>（亿元）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C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6494.79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continue"/>
            <w:noWrap w:val="0"/>
            <w:textDirection w:val="tbRlV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lang w:eastAsia="zh-CN"/>
              </w:rPr>
              <w:t>股票首发筹资金额</w:t>
            </w: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</w:rPr>
              <w:t>（亿元）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  <w:t>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continue"/>
            <w:noWrap w:val="0"/>
            <w:textDirection w:val="tbRlV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lang w:eastAsia="zh-CN"/>
              </w:rPr>
              <w:t>股票再筹资金额</w:t>
            </w: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</w:rPr>
              <w:t>（亿元）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  <w:t>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continue"/>
            <w:noWrap w:val="0"/>
            <w:textDirection w:val="tbRlV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0"/>
                <w:sz w:val="24"/>
                <w:szCs w:val="24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</w:rPr>
              <w:t>在审在辅导公司家数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pacing w:val="0"/>
                <w:sz w:val="24"/>
                <w:szCs w:val="24"/>
              </w:rPr>
              <w:t>股转系统挂牌公司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</w:rPr>
              <w:t>挂牌公司家数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  <w:t>38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</w:rPr>
              <w:t>在审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挂牌公司家数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发行股票筹资金额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</w:rPr>
              <w:t>（亿元）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  <w:t>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b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pacing w:val="0"/>
                <w:sz w:val="24"/>
                <w:szCs w:val="24"/>
                <w:lang w:eastAsia="zh-CN"/>
              </w:rPr>
              <w:t>交易所债券市场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pacing w:val="0"/>
                <w:sz w:val="24"/>
                <w:szCs w:val="24"/>
                <w:vertAlign w:val="superscript"/>
                <w:lang w:eastAsia="zh-CN"/>
              </w:rPr>
              <w:footnoteReference w:id="1"/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pacing w:val="0"/>
                <w:sz w:val="24"/>
                <w:szCs w:val="24"/>
                <w:lang w:eastAsia="zh-CN"/>
              </w:rPr>
              <w:t>融资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0"/>
                <w:sz w:val="24"/>
                <w:szCs w:val="24"/>
                <w:lang w:val="en-US" w:eastAsia="zh-CN"/>
              </w:rPr>
              <w:t>企业通过交易所债券市场筹资金额（亿元）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  <w:t>14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widowControl w:val="0"/>
              <w:wordWrap/>
              <w:adjustRightInd w:val="0"/>
              <w:snapToGrid w:val="0"/>
              <w:spacing w:beforeLines="0" w:afterLines="0"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方正仿宋简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本年累计数，包括公司（企业）债、可转债、可交换债、资产证券化产品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pacing w:val="0"/>
                <w:sz w:val="24"/>
                <w:szCs w:val="24"/>
                <w:highlight w:val="none"/>
              </w:rPr>
              <w:t>证券经</w:t>
            </w:r>
          </w:p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pacing w:val="0"/>
                <w:sz w:val="24"/>
                <w:szCs w:val="24"/>
                <w:highlight w:val="none"/>
              </w:rPr>
              <w:t>营机构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</w:rPr>
              <w:t>证券公司家数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</w:rPr>
              <w:t>证券公司分公司家数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  <w:t>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</w:rPr>
              <w:t>证券营业部家数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  <w:t>65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</w:rPr>
              <w:t>证券投资咨询公司家数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lang w:eastAsia="zh-CN"/>
              </w:rPr>
              <w:t>证券市场交易金额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</w:rPr>
              <w:t>（亿元）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0"/>
                <w:sz w:val="24"/>
                <w:szCs w:val="24"/>
                <w:highlight w:val="none"/>
                <w:lang w:val="en" w:eastAsia="zh-CN"/>
              </w:rPr>
              <w:t>3055.9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lang w:val="en"/>
              </w:rPr>
              <w:t>客户资产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</w:rPr>
              <w:t>（亿元）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  <w:t>4198.48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lang w:eastAsia="zh-CN"/>
              </w:rPr>
              <w:t>合格主资金账户数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lang w:eastAsia="zh-CN"/>
              </w:rPr>
              <w:t>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</w:rPr>
              <w:t>）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  <w:t>2585842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pacing w:val="0"/>
                <w:sz w:val="24"/>
                <w:szCs w:val="24"/>
                <w:highlight w:val="none"/>
              </w:rPr>
              <w:t>期货经</w:t>
            </w:r>
          </w:p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pacing w:val="0"/>
                <w:sz w:val="24"/>
                <w:szCs w:val="24"/>
                <w:highlight w:val="none"/>
              </w:rPr>
              <w:t>营机构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</w:rPr>
              <w:t>期货公司家数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</w:rPr>
              <w:t>期货营业部家数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18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lang w:eastAsia="zh-CN"/>
              </w:rPr>
              <w:t>期货分公司家数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6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lang w:eastAsia="zh-CN"/>
              </w:rPr>
              <w:t>期货市场交易金额（亿元）</w:t>
            </w:r>
          </w:p>
        </w:tc>
        <w:tc>
          <w:tcPr>
            <w:tcW w:w="1819" w:type="dxa"/>
            <w:tcBorders>
              <w:right w:val="single" w:color="auto" w:sz="4" w:space="0"/>
            </w:tcBorders>
            <w:noWrap w:val="0"/>
            <w:vAlign w:val="bottom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  <w:t>2176.98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noWrap w:val="0"/>
            <w:vAlign w:val="bottom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lang w:eastAsia="zh-CN"/>
              </w:rPr>
              <w:t>客户权益（亿元）</w:t>
            </w:r>
          </w:p>
        </w:tc>
        <w:tc>
          <w:tcPr>
            <w:tcW w:w="1819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color w:val="000000"/>
                <w:spacing w:val="0"/>
                <w:sz w:val="24"/>
                <w:szCs w:val="24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sz w:val="24"/>
                <w:szCs w:val="24"/>
                <w:lang w:val="en" w:eastAsia="zh-CN" w:bidi="ar"/>
              </w:rPr>
              <w:t>42.21</w:t>
            </w:r>
          </w:p>
        </w:tc>
        <w:tc>
          <w:tcPr>
            <w:tcW w:w="234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</w:rPr>
              <w:t>期货</w:t>
            </w: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lang w:eastAsia="zh-CN"/>
              </w:rPr>
              <w:t>账户</w:t>
            </w: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</w:rPr>
              <w:t>数（</w:t>
            </w: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lang w:eastAsia="zh-CN"/>
              </w:rPr>
              <w:t>户</w:t>
            </w: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</w:rPr>
              <w:t>）</w:t>
            </w:r>
          </w:p>
        </w:tc>
        <w:tc>
          <w:tcPr>
            <w:tcW w:w="1819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478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lang w:val="en" w:eastAsia="zh-CN"/>
              </w:rPr>
              <w:t>24</w:t>
            </w:r>
          </w:p>
        </w:tc>
        <w:tc>
          <w:tcPr>
            <w:tcW w:w="234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私募</w:t>
            </w:r>
          </w:p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基金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私募基金管理人家数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  <w:t>53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continue"/>
            <w:noWrap w:val="0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备案私募基金数量（只）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  <w:t>4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continue"/>
            <w:noWrap w:val="0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私募基金管理规模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</w:rPr>
              <w:t>（亿元）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  <w:t>958.16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bookmarkEnd w:id="0"/>
      <mc:AlternateContent>
        <mc:Choice Requires="wpsCustomData">
          <wpsCustomData:docfieldEnd id="0"/>
        </mc:Choice>
      </mc:AlternateContent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  <w:bookmarkStart w:id="2" w:name="_GoBack"/>
      <w:bookmarkEnd w:id="2"/>
      <w:bookmarkStart w:id="1" w:name="结束"/>
      <w:bookmarkEnd w:id="1"/>
    </w:p>
    <w:sectPr>
      <w:headerReference r:id="rId4" w:type="default"/>
      <w:footerReference r:id="rId5" w:type="default"/>
      <w:pgSz w:w="11906" w:h="16838"/>
      <w:pgMar w:top="2098" w:right="1474" w:bottom="1984" w:left="1587" w:header="851" w:footer="578" w:gutter="0"/>
      <w:pgNumType w:fmt="numberInDash"/>
      <w:cols w:space="425" w:num="1"/>
      <w:docGrid w:type="linesAndChars" w:linePitch="664" w:charSpace="-2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afterLines="221" w:line="440" w:lineRule="auto"/>
      <w:jc w:val="left"/>
      <w:rPr>
        <w:rFonts w:hint="eastAsia" w:ascii="宋体" w:hAnsi="宋体" w:eastAsia="宋体" w:cs="宋体"/>
        <w:kern w:val="2"/>
        <w:sz w:val="28"/>
        <w:szCs w:val="21"/>
        <w:lang w:val="en-US" w:eastAsia="zh-CN" w:bidi="ar-SA"/>
      </w:rPr>
    </w:pPr>
    <w:r>
      <w:rPr>
        <w:rFonts w:hint="eastAsia" w:ascii="宋体" w:hAnsi="宋体" w:eastAsia="宋体" w:cs="宋体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4445" t="4445" r="14605" b="1460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lang w:val="en-US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val="en-US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宋体" w:hAnsi="宋体" w:eastAsia="宋体" w:cs="宋体"/>
                        <w:sz w:val="28"/>
                        <w:lang w:val="en-US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lang w:val="en-US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val="en-US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val="en-US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widowControl w:val="0"/>
        <w:snapToGrid w:val="0"/>
        <w:spacing w:line="240" w:lineRule="atLeast"/>
        <w:jc w:val="left"/>
        <w:rPr>
          <w:rFonts w:hint="eastAsia" w:ascii="方正仿宋简体" w:hAnsi="方正仿宋简体" w:eastAsia="方正仿宋简体" w:cs="方正仿宋简体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方正仿宋简体" w:cs="Times New Roman"/>
          <w:kern w:val="2"/>
          <w:sz w:val="32"/>
          <w:szCs w:val="20"/>
          <w:vertAlign w:val="superscript"/>
          <w:lang w:val="en-US" w:eastAsia="zh-CN" w:bidi="ar-SA"/>
        </w:rPr>
        <w:footnoteRef/>
      </w:r>
      <w:r>
        <w:rPr>
          <w:rFonts w:ascii="Times New Roman" w:hAnsi="Times New Roman" w:eastAsia="宋体" w:cs="Times New Roman"/>
          <w:kern w:val="2"/>
          <w:sz w:val="18"/>
          <w:szCs w:val="24"/>
          <w:lang w:val="en-US" w:eastAsia="zh-CN" w:bidi="ar-SA"/>
        </w:rPr>
        <w:t xml:space="preserve"> </w:t>
      </w:r>
      <w:r>
        <w:rPr>
          <w:rFonts w:hint="eastAsia" w:ascii="方正仿宋简体" w:hAnsi="方正仿宋简体" w:eastAsia="方正仿宋简体" w:cs="方正仿宋简体"/>
          <w:kern w:val="2"/>
          <w:sz w:val="21"/>
          <w:szCs w:val="21"/>
          <w:lang w:val="en-US" w:eastAsia="zh-CN" w:bidi="ar-SA"/>
        </w:rPr>
        <w:t>交易所市场指上海证券交易所、深圳证券交易所、机构间私募产品报价与服务系统</w:t>
      </w:r>
    </w:p>
  </w:footnote>
  <w:footnote w:id="1">
    <w:p>
      <w:pPr>
        <w:widowControl w:val="0"/>
        <w:snapToGrid w:val="0"/>
        <w:spacing w:line="240" w:lineRule="atLeast"/>
        <w:jc w:val="left"/>
        <w:rPr>
          <w:rFonts w:hint="eastAsia" w:ascii="方正仿宋简体" w:hAnsi="方正仿宋简体" w:eastAsia="方正仿宋简体" w:cs="方正仿宋简体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方正仿宋简体" w:cs="Times New Roman"/>
          <w:kern w:val="2"/>
          <w:sz w:val="32"/>
          <w:szCs w:val="20"/>
          <w:vertAlign w:val="superscript"/>
          <w:lang w:val="en-US" w:eastAsia="zh-CN" w:bidi="ar-SA"/>
        </w:rPr>
        <w:footnoteRef/>
      </w:r>
      <w:r>
        <w:rPr>
          <w:rFonts w:ascii="Times New Roman" w:hAnsi="Times New Roman" w:eastAsia="宋体" w:cs="Times New Roman"/>
          <w:kern w:val="2"/>
          <w:sz w:val="18"/>
          <w:szCs w:val="24"/>
          <w:lang w:val="en-US" w:eastAsia="zh-CN" w:bidi="ar-SA"/>
        </w:rPr>
        <w:t xml:space="preserve"> </w:t>
      </w:r>
      <w:r>
        <w:rPr>
          <w:rFonts w:hint="eastAsia" w:ascii="方正仿宋简体" w:hAnsi="方正仿宋简体" w:eastAsia="方正仿宋简体" w:cs="方正仿宋简体"/>
          <w:kern w:val="2"/>
          <w:sz w:val="21"/>
          <w:szCs w:val="21"/>
          <w:lang w:val="en-US" w:eastAsia="zh-CN" w:bidi="ar-SA"/>
        </w:rPr>
        <w:t>交易所市场指上海证券交易所、深圳证券交易所、机构间私募产品报价与服务系统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32"/>
  <w:displayHorizontalDrawingGridEvery w:val="2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DA9BE"/>
    <w:rsid w:val="37F44724"/>
    <w:rsid w:val="57EDA9BE"/>
    <w:rsid w:val="6BFAEED8"/>
    <w:rsid w:val="75B35A76"/>
    <w:rsid w:val="EFBB5383"/>
    <w:rsid w:val="FBC69EF0"/>
    <w:rsid w:val="FBDF3089"/>
    <w:rsid w:val="FBFD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unhideWhenUsed/>
    <w:qFormat/>
    <w:uiPriority w:val="99"/>
    <w:pPr>
      <w:snapToGrid w:val="0"/>
      <w:jc w:val="left"/>
    </w:pPr>
    <w:rPr>
      <w:rFonts w:ascii="Times New Roman" w:hAnsi="Times New Roman" w:cs="Times New Roman"/>
      <w:sz w:val="18"/>
      <w:szCs w:val="24"/>
    </w:rPr>
  </w:style>
  <w:style w:type="character" w:styleId="7">
    <w:name w:val="footnote reference"/>
    <w:basedOn w:val="6"/>
    <w:unhideWhenUsed/>
    <w:qFormat/>
    <w:uiPriority w:val="99"/>
    <w:rPr>
      <w:rFonts w:ascii="Times New Roman" w:hAnsi="Times New Roman" w:eastAsia="方正仿宋简体" w:cs="Times New Roman"/>
      <w:sz w:val="32"/>
      <w:szCs w:val="20"/>
      <w:vertAlign w:val="superscript"/>
    </w:rPr>
  </w:style>
  <w:style w:type="paragraph" w:customStyle="1" w:styleId="8">
    <w:name w:val="NormalIndent"/>
    <w:next w:val="1"/>
    <w:qFormat/>
    <w:uiPriority w:val="0"/>
    <w:pPr>
      <w:widowControl w:val="0"/>
      <w:spacing w:line="240" w:lineRule="atLeast"/>
      <w:ind w:firstLine="420"/>
      <w:jc w:val="both"/>
      <w:textAlignment w:val="baseline"/>
    </w:pPr>
    <w:rPr>
      <w:rFonts w:ascii="宋体" w:hAnsi="Times New Roman" w:eastAsia="宋体" w:cs="Times New Roman"/>
      <w:spacing w:val="-6"/>
      <w:kern w:val="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2025-02-26T03:03:00Z</dcterms:created>
  <dc:creator>朱天兴：拟稿人校对</dc:creator>
  <cp:lastModifiedBy>余飞杨</cp:lastModifiedBy>
  <dcterms:modified xsi:type="dcterms:W3CDTF">2025-03-13T15:59:27Z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AB1469EF521C4EDD1E2DBC674CCD3B4E</vt:lpwstr>
  </property>
</Properties>
</file>